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FoVZV</w:t>
      </w:r>
    </w:p>
    <w:p>
      <w:r>
        <w:rPr>
          <w:color w:val="555555"/>
          <w:sz w:val="18"/>
        </w:rPr>
        <w:t xml:space="preserve">Forstvermehrungsgut-Zulassungsverordnung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Zulassung von</w:t>
      </w:r>
    </w:p>
    <w:p>
      <w:pPr>
        <w:ind w:left="420"/>
      </w:pPr>
      <w:r>
        <w:t xml:space="preserve">1. Erntebeständen unter der Kategorie "Ausgewählt",</w:t>
      </w:r>
    </w:p>
    <w:p>
      <w:pPr>
        <w:ind w:left="420"/>
      </w:pPr>
      <w:r>
        <w:t xml:space="preserve">2. Samenplantagen unter der Kategorie "Qualifiziert" und</w:t>
      </w:r>
    </w:p>
    <w:p>
      <w:pPr>
        <w:ind w:left="420"/>
      </w:pPr>
      <w:r>
        <w:t xml:space="preserve">3. Erntebeständen, Samenplantagen, Familieneltern, Klonen und Klonmischungen unter der Kategorie "Geprüft"</w:t>
      </w:r>
    </w:p>
    <w:p>
      <w:r>
        <w:t xml:space="preserve">gelten die in der Anlage 1 dieser Verordnung festgelegten Mindestanforderungen.</w:t>
      </w:r>
    </w:p>
    <w:p>
      <w:r>
        <w:t xml:space="preserve">(2) Für die Zulassung von Erntebeständen und Saatgutquellen unter der Kategorie "Quellengesichert" gelten die in der Anlage 2 dieser Verordnung festgelegten Mindestanforderungen.</w:t>
      </w:r>
    </w:p>
    <w:p>
      <w:r>
        <w:t xml:space="preserve">(3) Samenplantagen, die zum Zeitpunkt des Inkrafttretens dieser Verordnung als Ausgangsmaterial zur Gewinnung von "Ausgewähltem Vermehrungsgut" nach dem Gesetz über forstliches Saat- und Pflanzgut in der Fassung der Bekanntmachung vom 26. Juli 1979 (BGBl. I S. 1242), zuletzt geändert durch Artikel 201 der Verordnung vom 29. Oktober 2001 (BGBl. I S. 2785), zugelassen waren, können ohne weitere Überprüfung unter der Kategorie "Qualifiziert" registriert werden.</w:t>
      </w:r>
    </w:p>
    <w:p>
      <w:r>
        <w:rPr>
          <w:color w:val="555555"/>
          <w:sz w:val="17"/>
        </w:rPr>
        <w:t xml:space="preserve">Zitiervorschlag: § 1 FoVZV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https://recht.nulegal.eu/gesetze/FoVZV/1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