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FoVG — Trennung, Mischung und Kennzeichnung von forstlichem Vermehrungsgut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Forstliches Vermehrungsgut, das in den Verkehr gebracht werden soll, ist durch die Forstsamen- oder Forstpflanzenbetriebe zum Zweck der Identitätssicherung bei allen Stufen der Erzeugung nach Zulassungseinheiten in Partien getrennt zu halten und zu kennzeichnen.</w:t>
      </w:r>
    </w:p>
    <w:p>
      <w:r>
        <w:t xml:space="preserve">(2) Partien dürfen nur gemischt werden, soweit eine Rechtsverordnung nach Absatz 3 dies erlaubt. Für die gemischte Partie wird ein neues Stammzertifikat ausgestellt. Bei der Eintragung der Mischung in einem Buch nach § 17 Abs. 2 sind die Registerzeichen der Mischungsbestandteile anzugeben.</w:t>
      </w:r>
    </w:p>
    <w:p>
      <w:r>
        <w:t xml:space="preserve">(3) Das Bundesministerium wird ermächtigt, durch Rechtsverordnung mit Zustimmung des Bundesrates die Anforderungen an</w:t>
      </w:r>
    </w:p>
    <w:p>
      <w:pPr>
        <w:ind w:left="420"/>
      </w:pPr>
      <w:r>
        <w:t xml:space="preserve">1. die Trennung und Kennzeichnung sowie</w:t>
      </w:r>
    </w:p>
    <w:p>
      <w:pPr>
        <w:ind w:left="420"/>
      </w:pPr>
      <w:r>
        <w:t xml:space="preserve">2. die Zulässigkeit von Mischungen</w:t>
      </w:r>
    </w:p>
    <w:p>
      <w:r>
        <w:t xml:space="preserve">näher zu regeln.</w:t>
      </w:r>
    </w:p>
    <w:p>
      <w:r>
        <w:rPr>
          <w:color w:val="555555"/>
          <w:sz w:val="17"/>
        </w:rPr>
        <w:t xml:space="preserve">Zitiervorschlag: § 9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