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FoVG — Ermächtigung zur Änderung der Baumartenliste</w:t>
      </w:r>
    </w:p>
    <w:p>
      <w:r>
        <w:rPr>
          <w:color w:val="555555"/>
          <w:sz w:val="18"/>
        </w:rPr>
        <w:t xml:space="preserve">Forstvermehrungsgutgesetz</w:t>
      </w:r>
    </w:p>
    <w:p>
      <w:r>
        <w:rPr>
          <w:color w:val="555555"/>
          <w:sz w:val="18"/>
        </w:rPr>
        <w:t xml:space="preserve">Stand: 10.06.2019 (konsolidierte Textfassung, kein amtliches Inkrafttretensdatum)</w:t>
      </w:r>
    </w:p>
    <w:p>
      <w:r>
        <w:t xml:space="preserve">Das Bundesministerium für Ernährung und Landwirtschaft (Bundesministerium) wird ermächtigt, durch Rechtsverordnung mit Zustimmung des Bundesrates forstliches Vermehrungsgut weiterer Baumarten und künstlicher Hybriden den Vorschriften dieses Gesetzes vollständig oder teilweise zu unterwerfen, soweit dies zur Durchführung von Rechtsakten der Europäischen Gemeinschaft oder der Europäischen Union erforderlich ist.</w:t>
      </w:r>
    </w:p>
    <w:p>
      <w:r>
        <w:rPr>
          <w:color w:val="555555"/>
          <w:sz w:val="17"/>
        </w:rPr>
        <w:t xml:space="preserve">Zitiervorschlag: § 3 FoVG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https://recht.nulegal.eu/gesetze/FoVG/3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