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FoVG — Strafvorschriften</w:t>
      </w:r>
    </w:p>
    <w:p>
      <w:r>
        <w:rPr>
          <w:color w:val="555555"/>
          <w:sz w:val="18"/>
        </w:rPr>
        <w:t xml:space="preserve">Forstvermehrungsgutgesetz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entgegen § 14 Abs. 1 Nr. 3 Buchstabe a Vermehrungsgut in Verkehr bringt, wird mit Freiheitsstrafe bis zu einem Jahr oder mit Geldstrafe bestraft.</w:t>
      </w:r>
    </w:p>
    <w:p>
      <w:r>
        <w:rPr>
          <w:color w:val="555555"/>
          <w:sz w:val="17"/>
        </w:rPr>
        <w:t xml:space="preserve">Zitiervorschlag: § 22 FoVG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https://recht.nulegal.eu/gesetze/FoVG/22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