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FoVG — Zusammenarbeit zwischen den Mitgliedstaaten der Europäischen Union</w:t>
      </w:r>
    </w:p>
    <w:p>
      <w:r>
        <w:rPr>
          <w:color w:val="555555"/>
          <w:sz w:val="18"/>
        </w:rPr>
        <w:t xml:space="preserve">Forstvermehrungsgutgesetz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Bundesanstalt übermittelt den amtlichen Stellen anderer Mitgliedstaaten der Europäischen Union unmittelbar die notwendigen Informationen zur Überwachung der Vorschriften der Richtlinie 1999/105/EG.</w:t>
      </w:r>
    </w:p>
    <w:p>
      <w:r>
        <w:t xml:space="preserve">(2) Die Bundesanstalt und die Landesstellen leisten den amtlichen Stellen anderer Mitgliedstaaten der Europäischen Union unmittelbar Amtshilfe zur Überwachung der Vorschriften der Richtlinie 1999/105/EG.</w:t>
      </w:r>
    </w:p>
    <w:p>
      <w:r>
        <w:t xml:space="preserve">(3) Das Bundesministerium wird ermächtigt, durch Rechtsverordnung mit Zustimmung des Bundesrates anzuordnen, dass die Forstsamen- oder Forstpflanzenbetriebe und die Landesstellen der Bundesanstalt bestimmte Angaben über das Verbringen von Partien zwischen Mitgliedstaaten der Europäischen Union sowie bei der Ein- und Ausfuhr mitteilen.</w:t>
      </w:r>
    </w:p>
    <w:p>
      <w:r>
        <w:rPr>
          <w:color w:val="555555"/>
          <w:sz w:val="17"/>
        </w:rPr>
        <w:t xml:space="preserve">Zitiervorschlag: § 20 FoVG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