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FoVG — Ausfuhr von forstlichem Vermehrungsgut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Ausfuhr von forstlichem Vermehrungsgut ist vom Absender unter Beifügung einer zollamtlich abgefertigten Ausfuhrbestätigung der Landesstelle unverzüglich nachzuweisen.</w:t>
      </w:r>
    </w:p>
    <w:p>
      <w:r>
        <w:t xml:space="preserve">(2) Für Vermehrungsgut, das für die Ausfuhr bestimmt ist, kann die Landesstelle auf Antrag ein neues Stammzertifikat oder Herkunfts- oder Identitätszertifikat entsprechend völkerrechtlich verbindlichen Vereinbarungen erstellen.</w:t>
      </w:r>
    </w:p>
    <w:p>
      <w:r>
        <w:rPr>
          <w:color w:val="555555"/>
          <w:sz w:val="17"/>
        </w:rPr>
        <w:t xml:space="preserve">Zitiervorschlag: § 16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