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FoVG — Inverkehrbringen von forstlichem Vermehrungsgut</w:t>
      </w:r>
    </w:p>
    <w:p>
      <w:r>
        <w:rPr>
          <w:color w:val="555555"/>
          <w:sz w:val="18"/>
        </w:rPr>
        <w:t xml:space="preserve">Forstvermehrungsgutgesetz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Forstliches Vermehrungsgut darf nur unter Beachtung der Vorschriften des § 7 zur Erzeugung und nur von angemeldeten Forstsamen- oder Forstpflanzenbetrieben in den Verkehr gebracht werden. Es muss</w:t>
      </w:r>
    </w:p>
    <w:p>
      <w:pPr>
        <w:ind w:left="420"/>
      </w:pPr>
      <w:r>
        <w:t xml:space="preserve">1. von in Mitgliedstaaten der Europäischen Union zugelassenem Ausgangsmaterial stammen oder</w:t>
      </w:r>
    </w:p>
    <w:p>
      <w:pPr>
        <w:ind w:left="420"/>
      </w:pPr>
      <w:r>
        <w:t xml:space="preserve">2. gemäß § 15 Abs. 1 in die Europäische Union eingeführt worden sein.</w:t>
      </w:r>
    </w:p>
    <w:p>
      <w:r>
        <w:t xml:space="preserve">(2) Saatgut darf nur in verschlossenen Verpackungen in den Verkehr gebracht werden. Der Verschluss muss so beschaffen sein, dass er beim ersten Öffnen unbrauchbar wird.</w:t>
      </w:r>
    </w:p>
    <w:p>
      <w:r>
        <w:rPr>
          <w:color w:val="555555"/>
          <w:sz w:val="17"/>
        </w:rPr>
        <w:t xml:space="preserve">Zitiervorschlag: § 11 FoVG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https://recht.nulegal.eu/gesetze/FoVG/11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