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FoVG — Zweck und Anwendungsbereich des Gesetzes</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Zweck des Gesetzes ist, den Wald mit seinen vielfältigen positiven Wirkungen durch die Bereitstellung von hochwertigem und identitätsgesichertem forstlichen Vermehrungsgut in seiner genetischen Vielfalt zu erhalten und zu verbessern sowie die Forstwirtschaft und ihre Leistungsfähigkeit zu fördern.</w:t>
      </w:r>
    </w:p>
    <w:p>
      <w:r>
        <w:t xml:space="preserve">(2) Forstliches Vermehrungsgut darf nur nach Maßgabe der folgenden Vorschriften erzeugt, in Verkehr gebracht, eingeführt oder ausgeführt werden.</w:t>
      </w:r>
    </w:p>
    <w:p>
      <w:r>
        <w:t xml:space="preserve">(3) Dieses Gesetz gilt nicht</w:t>
      </w:r>
    </w:p>
    <w:p>
      <w:pPr>
        <w:ind w:left="420"/>
      </w:pPr>
      <w:r>
        <w:t xml:space="preserve">1. für Vermehrungsgut, das den Vorschriften des Saatgutverkehrsgesetzes unterliegt,</w:t>
      </w:r>
    </w:p>
    <w:p>
      <w:pPr>
        <w:ind w:left="420"/>
      </w:pPr>
      <w:r>
        <w:t xml:space="preserve">2. für Pflanzenteile und Pflanzgut, die nachweislich nicht für forstliche Zwecke bestimmt sind, mit Ausnahme der Vorschriften über die Einfuhr.</w:t>
      </w:r>
    </w:p>
    <w:p>
      <w:r>
        <w:rPr>
          <w:color w:val="555555"/>
          <w:sz w:val="17"/>
        </w:rPr>
        <w:t xml:space="preserve">Zitiervorschlag: § 1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