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FoVDV — Anforderungen an die Saatgutprüfung</w:t>
      </w:r>
    </w:p>
    <w:p>
      <w:r>
        <w:rPr>
          <w:color w:val="555555"/>
          <w:sz w:val="18"/>
        </w:rPr>
        <w:t xml:space="preserve">Forstvermehrungsgut-Durchführungsverordnung</w:t>
      </w:r>
    </w:p>
    <w:p>
      <w:r>
        <w:rPr>
          <w:color w:val="555555"/>
          <w:sz w:val="18"/>
        </w:rPr>
        <w:t xml:space="preserve">Stand: 10.06.2019 (konsolidierte Textfassung, kein amtliches Inkrafttretensdatum)</w:t>
      </w:r>
    </w:p>
    <w:p>
      <w:r>
        <w:t xml:space="preserve">Die Saatgutprüfung nach § 14 Abs. 2 des Forstvermehrungsgutgesetzes darf nur von Stellen durchgeführt werden, die bei der Bundesanstalt für Landwirtschaft und Ernährung (Bundesanstalt) als Saatgutprüfstellen registriert sind und über die für die ordnungsgemäße Lagerung und Prüfung erforderlichen technischen Einrichtungen verfügen. Die mit der Prüfung betrauten Personen müssen über die erforderlichen fachlichen Kenntnisse und Erfahrungen verfügen und dürfen am Ergebnis der Prüfung kein persönliches Interesse haben.</w:t>
      </w:r>
    </w:p>
    <w:p>
      <w:r>
        <w:rPr>
          <w:color w:val="555555"/>
          <w:sz w:val="17"/>
        </w:rPr>
        <w:t xml:space="preserve">Zitiervorschlag: § 5 FoVDV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