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FoVDV — Kennzeichnung von forstlichem Vermehrungsgut</w:t>
      </w:r>
    </w:p>
    <w:p>
      <w:r>
        <w:rPr>
          <w:color w:val="555555"/>
          <w:sz w:val="18"/>
        </w:rPr>
        <w:t xml:space="preserve">Forstvermehrungsgut-Durchführungsverordnung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Kennzeichnung der Partien bei allen Stufen der Erzeugung nach § 9 Abs. 1 des Forstvermehrungsgutgesetzes muss folgende Angaben umfassen:</w:t>
      </w:r>
    </w:p>
    <w:p>
      <w:pPr>
        <w:ind w:left="420"/>
      </w:pPr>
      <w:r>
        <w:t xml:space="preserve">1. Landescode und Nummer des Stammzertifikates;</w:t>
      </w:r>
    </w:p>
    <w:p>
      <w:pPr>
        <w:ind w:left="420"/>
      </w:pPr>
      <w:r>
        <w:t xml:space="preserve">2. botanische Art sowie gegebenenfalls Unterart, Sorte, Klon, Klonmischung;</w:t>
      </w:r>
    </w:p>
    <w:p>
      <w:pPr>
        <w:ind w:left="420"/>
      </w:pPr>
      <w:r>
        <w:t xml:space="preserve">3. Kategorie;</w:t>
      </w:r>
    </w:p>
    <w:p>
      <w:pPr>
        <w:ind w:left="420"/>
      </w:pPr>
      <w:r>
        <w:t xml:space="preserve">4. Zweck, im Falle der Kategorie "Quellengesichert" zusätzlich der Hinweis "nicht für forstliche Zwecke";</w:t>
      </w:r>
    </w:p>
    <w:p>
      <w:pPr>
        <w:ind w:left="420"/>
      </w:pPr>
      <w:r>
        <w:t xml:space="preserve">5. Art des Ausgangsmaterials;</w:t>
      </w:r>
    </w:p>
    <w:p>
      <w:pPr>
        <w:ind w:left="420"/>
      </w:pPr>
      <w:r>
        <w:t xml:space="preserve">6. Registerzeichen (bei Mischung nach § 3 Abs. 2: Registerzeichen aller in die Mischung eingegangenen Partien);</w:t>
      </w:r>
    </w:p>
    <w:p>
      <w:pPr>
        <w:ind w:left="420"/>
      </w:pPr>
      <w:r>
        <w:t xml:space="preserve">7. Bezeichnung und Kennziffer des Herkunftsgebiets nach der Forstvermehrungsgut-Herkunftsgebietsverordnung im Falle der Kategorien "Quellengesichert" und "Ausgewählt", soweit möglich auch bei den anderen Kategorien anzugeben;</w:t>
      </w:r>
    </w:p>
    <w:p>
      <w:pPr>
        <w:ind w:left="420"/>
      </w:pPr>
      <w:r>
        <w:t xml:space="preserve">8. autochthon, nicht autochthon oder unbekannten Ursprungs;</w:t>
      </w:r>
    </w:p>
    <w:p>
      <w:pPr>
        <w:ind w:left="420"/>
      </w:pPr>
      <w:r>
        <w:t xml:space="preserve">9. bei Saatgut: Reifejahr, bei Mischung nach § 3 Abs. 1: Reifejahre und Mischungsanteile;</w:t>
      </w:r>
    </w:p>
    <w:p>
      <w:pPr>
        <w:ind w:left="420"/>
      </w:pPr>
      <w:r>
        <w:t xml:space="preserve">10. bei Pflanzenteilen: Alter und Art der Pflanzenteile sowie bei Stecklingen und Setzstangen der Gattung Pappel Angaben gemäß § 14 Abs. 3 des Forstvermehrungsgutgesetzes;</w:t>
      </w:r>
    </w:p>
    <w:p>
      <w:pPr>
        <w:ind w:left="420"/>
      </w:pPr>
      <w:r>
        <w:t xml:space="preserve">11. bei Pflanzgut: Alter und Art des Pflanzgutes;</w:t>
      </w:r>
    </w:p>
    <w:p>
      <w:pPr>
        <w:ind w:left="420"/>
      </w:pPr>
      <w:r>
        <w:t xml:space="preserve">12. Hinweis "vegetativ erzeugt", wenn das Vermehrungsgut vegetativ erzeugt wurde;</w:t>
      </w:r>
    </w:p>
    <w:p>
      <w:pPr>
        <w:ind w:left="420"/>
      </w:pPr>
      <w:r>
        <w:t xml:space="preserve">13. Hinweis "enthält gentechnisch veränderte Organismen", wenn die Partie gentechnisch verändertes Material enthält.</w:t>
      </w:r>
    </w:p>
    <w:p>
      <w:r>
        <w:rPr>
          <w:color w:val="555555"/>
          <w:sz w:val="17"/>
        </w:rPr>
        <w:t xml:space="preserve">Zitiervorschlag: § 2 FoVDV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https://recht.nulegal.eu/gesetze/FoVDV/2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