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6 FoRGDV (Bayern)</w:t>
      </w:r>
    </w:p>
    <w:p>
      <w:r>
        <w:rPr>
          <w:color w:val="555555"/>
          <w:sz w:val="18"/>
        </w:rPr>
        <w:t xml:space="preserve">Verordnung zur Durchführung des Gesetzes über die Forstrechte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Forstamt …………………</w:t>
      </w:r>
    </w:p>
    <w:p>
      <w:r>
        <w:t xml:space="preserve">Verpflichteter Waldbesitzer ……………………</w:t>
      </w:r>
    </w:p>
    <w:p>
      <w:r>
        <w:t xml:space="preserve">Festmessung von Bau- und Nutzholzrechten gem. Art. 14 FoRG</w:t>
      </w:r>
    </w:p>
    <w:p>
      <w:r>
        <w:t xml:space="preserve">II. Berechnung des jährlichen Unterhaltungsfixums (Art. 14 Abs. 3 Buchst. b und c FoRG) für</w:t>
      </w:r>
    </w:p>
    <w:p>
      <w:r>
        <w:t xml:space="preserve">………………………………………………………………</w:t>
      </w:r>
    </w:p>
    <w:p>
      <w:r>
        <w:t xml:space="preserve">………………………………………………………………</w:t>
      </w:r>
    </w:p>
    <w:p>
      <w:r>
        <w:t xml:space="preserve">………………………………………………………………</w:t>
      </w:r>
    </w:p>
    <w:p>
      <w:r>
        <w:t xml:space="preserve">beim Anwesen</w:t>
      </w:r>
    </w:p>
    <w:p>
      <w:r>
        <w:t xml:space="preserve">Gemeinde und Haus-Nr. ………………………………………</w:t>
      </w:r>
    </w:p>
    <w:p>
      <w:r>
        <w:t xml:space="preserve">Hausname ………………………………………………</w:t>
      </w:r>
    </w:p>
    <w:p>
      <w:r>
        <w:t xml:space="preserve">Flurstück und Gemarkung ……………………………………</w:t>
      </w:r>
    </w:p>
    <w:p>
      <w:r>
        <w:t xml:space="preserve">Forstrechtskataster-Nr. ………………………………………</w:t>
      </w:r>
    </w:p>
    <w:p>
      <w:r>
        <w:t xml:space="preserve">Eigentümer………………………………………………</w:t>
      </w:r>
    </w:p>
    <w:p>
      <w:r>
        <w:t xml:space="preserve">Grundsortiment ……………………………………………</w:t>
      </w:r>
    </w:p>
    <w:p>
      <w:r>
        <w:t xml:space="preserve">Erstellt am …………………</w:t>
      </w:r>
    </w:p>
    <w:p>
      <w:r>
        <w:t xml:space="preserve">durch ……………………</w:t>
      </w:r>
    </w:p>
    <w:p>
      <w:r>
        <w:t xml:space="preserve">Gemäß Holzvoranschlag vom …… wären fällig</w:t>
      </w:r>
    </w:p>
    <w:p>
      <w:r>
        <w:t xml:space="preserve">Faktor</w:t>
      </w:r>
    </w:p>
    <w:p>
      <w:r>
        <w:t xml:space="preserve">1/1.04…n-1</w:t>
      </w:r>
    </w:p>
    <w:p>
      <w:r>
        <w:t xml:space="preserve">Kapitalwert</w:t>
      </w:r>
    </w:p>
    <w:p>
      <w:r>
        <w:t xml:space="preserve">alle … Jahre</w:t>
      </w:r>
    </w:p>
    <w:p>
      <w:r>
        <w:t xml:space="preserve">fm Grundsortiment</w:t>
      </w:r>
    </w:p>
    <w:p>
      <w:r>
        <w:t xml:space="preserve">fm Grundsortiment</w:t>
      </w:r>
    </w:p>
    <w:p>
      <w:r>
        <w:t xml:space="preserve">2</w:t>
      </w:r>
    </w:p>
    <w:p>
      <w:r>
        <w:t xml:space="preserve">12,255</w:t>
      </w:r>
    </w:p>
    <w:p>
      <w:r>
        <w:t xml:space="preserve">5</w:t>
      </w:r>
    </w:p>
    <w:p>
      <w:r>
        <w:t xml:space="preserve">4,616</w:t>
      </w:r>
    </w:p>
    <w:p>
      <w:r>
        <w:t xml:space="preserve">10</w:t>
      </w:r>
    </w:p>
    <w:p>
      <w:r>
        <w:t xml:space="preserve">2,082</w:t>
      </w:r>
    </w:p>
    <w:p>
      <w:r>
        <w:t xml:space="preserve">15</w:t>
      </w:r>
    </w:p>
    <w:p>
      <w:r>
        <w:t xml:space="preserve">1,248</w:t>
      </w:r>
    </w:p>
    <w:p>
      <w:r>
        <w:t xml:space="preserve">20</w:t>
      </w:r>
    </w:p>
    <w:p>
      <w:r>
        <w:t xml:space="preserve">0,839</w:t>
      </w:r>
    </w:p>
    <w:p>
      <w:r>
        <w:t xml:space="preserve">25</w:t>
      </w:r>
    </w:p>
    <w:p>
      <w:r>
        <w:t xml:space="preserve">0,600</w:t>
      </w:r>
    </w:p>
    <w:p>
      <w:r>
        <w:t xml:space="preserve">30</w:t>
      </w:r>
    </w:p>
    <w:p>
      <w:r>
        <w:t xml:space="preserve">0,446</w:t>
      </w:r>
    </w:p>
    <w:p>
      <w:r>
        <w:t xml:space="preserve">40</w:t>
      </w:r>
    </w:p>
    <w:p>
      <w:r>
        <w:t xml:space="preserve">0,263</w:t>
      </w:r>
    </w:p>
    <w:p>
      <w:r>
        <w:t xml:space="preserve">50</w:t>
      </w:r>
    </w:p>
    <w:p>
      <w:r>
        <w:t xml:space="preserve">0,164</w:t>
      </w:r>
    </w:p>
    <w:p>
      <w:r>
        <w:t xml:space="preserve">60</w:t>
      </w:r>
    </w:p>
    <w:p>
      <w:r>
        <w:t xml:space="preserve">0,105</w:t>
      </w:r>
    </w:p>
    <w:p>
      <w:r>
        <w:t xml:space="preserve">70</w:t>
      </w:r>
    </w:p>
    <w:p>
      <w:r>
        <w:t xml:space="preserve">0,069</w:t>
      </w:r>
    </w:p>
    <w:p>
      <w:r>
        <w:t xml:space="preserve">80</w:t>
      </w:r>
    </w:p>
    <w:p>
      <w:r>
        <w:t xml:space="preserve">0,045</w:t>
      </w:r>
    </w:p>
    <w:p>
      <w:r>
        <w:t xml:space="preserve">100</w:t>
      </w:r>
    </w:p>
    <w:p>
      <w:r>
        <w:t xml:space="preserve">0,020</w:t>
      </w:r>
    </w:p>
    <w:p>
      <w:r>
        <w:t xml:space="preserve">120</w:t>
      </w:r>
    </w:p>
    <w:p>
      <w:r>
        <w:t xml:space="preserve">0,009</w:t>
      </w:r>
    </w:p>
    <w:p>
      <w:r>
        <w:t xml:space="preserve">150</w:t>
      </w:r>
    </w:p>
    <w:p>
      <w:r>
        <w:t xml:space="preserve">0,003</w:t>
      </w:r>
    </w:p>
    <w:p>
      <w:r>
        <w:t xml:space="preserve">Summe Kapitalwert</w:t>
      </w:r>
    </w:p>
    <w:p>
      <w:r>
        <w:t xml:space="preserve">Jahresfixum:</w:t>
      </w:r>
    </w:p>
    <w:p>
      <w:r>
        <w:t xml:space="preserve">fm Grundsortiment mal 0,04</w:t>
      </w:r>
    </w:p>
    <w:p>
      <w:r>
        <w:t xml:space="preserve">=</w:t>
      </w:r>
    </w:p>
    <w:p>
      <w:r>
        <w:t xml:space="preserve">fm Grundsortiment</w:t>
      </w:r>
    </w:p>
    <w:p>
      <w:r>
        <w:t xml:space="preserve">Hierzu 1,5 v.T. der Neubauholzmasse (Anlage 7 Sp. 3) als Schadenszuschlag gem. Art. 14 Abs. 3 Buchst. c) FoRG</w:t>
      </w:r>
    </w:p>
    <w:p>
      <w:r>
        <w:t xml:space="preserve">=</w:t>
      </w:r>
    </w:p>
    <w:p>
      <w:r>
        <w:t xml:space="preserve">fm Grundsortiment</w:t>
      </w:r>
    </w:p>
    <w:p>
      <w:r>
        <w:t xml:space="preserve">Sa. Unterhaltungsfixum:</w:t>
      </w:r>
    </w:p>
    <w:p>
      <w:r>
        <w:t xml:space="preserve">fm Grundsortiment</w:t>
      </w:r>
    </w:p>
    <w:p>
      <w:r>
        <w:rPr>
          <w:color w:val="555555"/>
          <w:sz w:val="17"/>
        </w:rPr>
        <w:t xml:space="preserve">Zitiervorschlag: Anlage 6 FoRGDV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https://recht.nulegal.eu/gesetze/FoRGDV/anlage-6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