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FoRGDV (Bayern)</w:t>
      </w:r>
    </w:p>
    <w:p>
      <w:r>
        <w:rPr>
          <w:color w:val="555555"/>
          <w:sz w:val="18"/>
        </w:rPr>
        <w:t xml:space="preserve">Verordnung zur Durchführung des Gesetzes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Forstamt …………………</w:t>
      </w:r>
    </w:p>
    <w:p>
      <w:r>
        <w:t xml:space="preserve">Verpflichteter Waldbesitzer ……………………</w:t>
      </w:r>
    </w:p>
    <w:p>
      <w:r>
        <w:t xml:space="preserve">ohne</w:t>
      </w:r>
    </w:p>
    <w:p>
      <w:r>
        <w:t xml:space="preserve">………………………………………………………………</w:t>
      </w:r>
    </w:p>
    <w:p>
      <w:r>
        <w:t xml:space="preserve">………………………………………………………………</w:t>
      </w:r>
    </w:p>
    <w:p>
      <w:r>
        <w:t xml:space="preserve">………………………………………………………………</w:t>
      </w:r>
    </w:p>
    <w:p>
      <w:r>
        <w:t xml:space="preserve">beim Anwesen</w:t>
      </w:r>
    </w:p>
    <w:p>
      <w:r>
        <w:t xml:space="preserve">Gemeinde und Haus-Nr. ………………………………………</w:t>
      </w:r>
    </w:p>
    <w:p>
      <w:r>
        <w:t xml:space="preserve">Hausname ………………………………………………</w:t>
      </w:r>
    </w:p>
    <w:p>
      <w:r>
        <w:t xml:space="preserve">Flurstück und Gemarkung ……………………………………</w:t>
      </w:r>
    </w:p>
    <w:p>
      <w:r>
        <w:t xml:space="preserve">Forstrechtskataster-Nr. ………………………………………</w:t>
      </w:r>
    </w:p>
    <w:p>
      <w:r>
        <w:t xml:space="preserve">Eigentümer………………………………………………</w:t>
      </w:r>
    </w:p>
    <w:p>
      <w:r>
        <w:t xml:space="preserve">Erstellt am …………………</w:t>
      </w:r>
    </w:p>
    <w:p>
      <w:r>
        <w:t xml:space="preserve">durch ……………………</w:t>
      </w:r>
    </w:p>
    <w:p>
      <w:r>
        <w:t xml:space="preserve">Nr. des Holzvoranschlags</w:t>
      </w:r>
    </w:p>
    <w:p>
      <w:r>
        <w:t xml:space="preserve">Sortiment</w:t>
      </w:r>
    </w:p>
    <w:p>
      <w:r>
        <w:t xml:space="preserve">Masse</w:t>
      </w:r>
    </w:p>
    <w:p>
      <w:r>
        <w:t xml:space="preserve">Marktpreis</w:t>
      </w:r>
    </w:p>
    <w:p>
      <w:r>
        <w:t xml:space="preserve">Gegenleistungen und Aufwendungen des Berechtigten</w:t>
      </w:r>
    </w:p>
    <w:p>
      <w:r>
        <w:t xml:space="preserve">Erntekostenfreier Marktpreis nach Abzug der Gegenleistungen und Aufwendungen</w:t>
      </w:r>
    </w:p>
    <w:p>
      <w:r>
        <w:t xml:space="preserve">Lebensdauer des massiven Bauteils</w:t>
      </w:r>
    </w:p>
    <w:p>
      <w:r>
        <w:t xml:space="preserve">Zahl der Jahre, die vom Zeitpunkt der Ablösung bis zum Ende der Lebensdauer des derzeitigen Massivbaus verstreichen</w:t>
      </w:r>
    </w:p>
    <w:p>
      <w:r>
        <w:t xml:space="preserve">Lebensdauer des durch den Massivbau ersetzten angeforsteten Holzbauteils</w:t>
      </w:r>
    </w:p>
    <w:p>
      <w:r>
        <w:t xml:space="preserve">Ablösungswert des Massivbaus (-bauteils) nach der Formel</w:t>
      </w:r>
    </w:p>
    <w:p>
      <w:r>
        <w:t xml:space="preserve">(r + r/1.04 m -1) · 1/1.04 m</w:t>
      </w:r>
    </w:p>
    <w:p>
      <w:r>
        <w:t xml:space="preserve">Bemerkungen</w:t>
      </w:r>
    </w:p>
    <w:p>
      <w:r>
        <w:t xml:space="preserve">Werbungskosten</w:t>
      </w:r>
    </w:p>
    <w:p>
      <w:r>
        <w:t xml:space="preserve">Unständige Gegenreichnisse</w:t>
      </w:r>
    </w:p>
    <w:p>
      <w:r>
        <w:t xml:space="preserve">Sonst. Aufwendungen</w:t>
      </w:r>
    </w:p>
    <w:p>
      <w:r>
        <w:t xml:space="preserve">fm</w:t>
      </w:r>
    </w:p>
    <w:p>
      <w:r>
        <w:t xml:space="preserve">je fm</w:t>
      </w:r>
    </w:p>
    <w:p>
      <w:r>
        <w:t xml:space="preserve">im ganzen</w:t>
      </w:r>
    </w:p>
    <w:p>
      <w:r>
        <w:t xml:space="preserve">je fm</w:t>
      </w:r>
    </w:p>
    <w:p>
      <w:r>
        <w:t xml:space="preserve">im ganzen</w:t>
      </w:r>
    </w:p>
    <w:p>
      <w:r>
        <w:t xml:space="preserve">Stück</w:t>
      </w:r>
    </w:p>
    <w:p>
      <w:r>
        <w:t xml:space="preserve">Einheit</w:t>
      </w:r>
    </w:p>
    <w:p>
      <w:r>
        <w:t xml:space="preserve">im ganzen</w:t>
      </w:r>
    </w:p>
    <w:p>
      <w:r>
        <w:t xml:space="preserve">Einheit</w:t>
      </w:r>
    </w:p>
    <w:p>
      <w:r>
        <w:t xml:space="preserve">im ganzen</w:t>
      </w:r>
    </w:p>
    <w:p>
      <w:r>
        <w:t xml:space="preserve">Euro</w:t>
      </w:r>
    </w:p>
    <w:p>
      <w:r>
        <w:t xml:space="preserve">Euro</w:t>
      </w:r>
    </w:p>
    <w:p>
      <w:r>
        <w:t xml:space="preserve">Euro</w:t>
      </w:r>
    </w:p>
    <w:p>
      <w:r>
        <w:t xml:space="preserve">Euro</w:t>
      </w:r>
    </w:p>
    <w:p>
      <w:r>
        <w:t xml:space="preserve">r Euro</w:t>
      </w:r>
    </w:p>
    <w:p>
      <w:r>
        <w:t xml:space="preserve">Jahre</w:t>
      </w:r>
    </w:p>
    <w:p>
      <w:r>
        <w:t xml:space="preserve">n Jahre</w:t>
      </w:r>
    </w:p>
    <w:p>
      <w:r>
        <w:t xml:space="preserve">m Jahre</w:t>
      </w:r>
    </w:p>
    <w:p>
      <w:r>
        <w:t xml:space="preserve">Euro</w:t>
      </w:r>
    </w:p>
    <w:p>
      <w:r>
        <w:t xml:space="preserve">1</w:t>
      </w:r>
    </w:p>
    <w:p>
      <w:r>
        <w:t xml:space="preserve">2</w:t>
      </w:r>
    </w:p>
    <w:p>
      <w:r>
        <w:t xml:space="preserve">3</w:t>
      </w:r>
    </w:p>
    <w:p>
      <w:r>
        <w:t xml:space="preserve">4</w:t>
      </w:r>
    </w:p>
    <w:p>
      <w:r>
        <w:t xml:space="preserve">5</w:t>
      </w:r>
    </w:p>
    <w:p>
      <w:r>
        <w:t xml:space="preserve">6</w:t>
      </w:r>
    </w:p>
    <w:p>
      <w:r>
        <w:t xml:space="preserve">7</w:t>
      </w:r>
    </w:p>
    <w:p>
      <w:r>
        <w:t xml:space="preserve">8</w:t>
      </w:r>
    </w:p>
    <w:p>
      <w:r>
        <w:t xml:space="preserve">9</w:t>
      </w:r>
    </w:p>
    <w:p>
      <w:r>
        <w:t xml:space="preserve">10</w:t>
      </w:r>
    </w:p>
    <w:p>
      <w:r>
        <w:t xml:space="preserve">11</w:t>
      </w:r>
    </w:p>
    <w:p>
      <w:r>
        <w:t xml:space="preserve">12</w:t>
      </w:r>
    </w:p>
    <w:p>
      <w:r>
        <w:t xml:space="preserve">13</w:t>
      </w:r>
    </w:p>
    <w:p>
      <w:r>
        <w:t xml:space="preserve">14</w:t>
      </w:r>
    </w:p>
    <w:p>
      <w:r>
        <w:t xml:space="preserve">15</w:t>
      </w:r>
    </w:p>
    <w:p>
      <w:r>
        <w:t xml:space="preserve">16</w:t>
      </w:r>
    </w:p>
    <w:p>
      <w:r>
        <w:t xml:space="preserve">17</w:t>
      </w:r>
    </w:p>
    <w:p>
      <w:r>
        <w:t xml:space="preserve">18</w:t>
      </w:r>
    </w:p>
    <w:p>
      <w:r>
        <w:t xml:space="preserve">[Amtl. Anm.:] Hierzu kommen im Fall des Art. 22 Abs. 3 Buchst. c FoRG vier v.H. des Werts Summe Sp. 13</w:t>
      </w:r>
    </w:p>
    <w:p>
      <w:r>
        <w:rPr>
          <w:color w:val="555555"/>
          <w:sz w:val="17"/>
        </w:rPr>
        <w:t xml:space="preserve">Zitiervorschlag: Anlage 3 FoRGDV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https://recht.nulegal.eu/gesetze/FoRGDV/anlage-3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