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FoRGDV (Bayern) — (Zu Art. 11, 14 und 22)</w:t>
      </w:r>
    </w:p>
    <w:p>
      <w:r>
        <w:rPr>
          <w:color w:val="555555"/>
          <w:sz w:val="18"/>
        </w:rPr>
        <w:t xml:space="preserve">Verordnung zur Durchführung des Gesetzes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nach Art. 11 Abs. 2 bis 6, Art. 14 Abs. 3, Buchst. a bis d und Art. 22 Abs. 2 bis 8 FoRG, erforderlichen Holzvoranschläge und Wertberechnungen sind in Anlehnung an die Formblattmuster Anlagen 1 bis 7 zu erstellen.</w:t>
      </w:r>
    </w:p>
    <w:p>
      <w:r>
        <w:t xml:space="preserve">[Amtl. Anm.:] BayRS 7902-7-E</w:t>
      </w:r>
    </w:p>
    <w:p>
      <w:r>
        <w:rPr>
          <w:color w:val="555555"/>
          <w:sz w:val="17"/>
        </w:rPr>
        <w:t xml:space="preserve">Zitiervorschlag: § 2 FoRGDV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https://recht.nulegal.eu/gesetze/FoRGDV/2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