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45 FoRG (Bayern)</w:t>
      </w:r>
    </w:p>
    <w:p>
      <w:r>
        <w:rPr>
          <w:color w:val="555555"/>
          <w:sz w:val="18"/>
        </w:rPr>
        <w:t xml:space="preserve">Gesetz über die Forstrechte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Nach rechtskräftigem Abschluß des Verfahrens ersucht die Regierung, soweit erforderlich, um Eintragung der mit der Regelung und Ablösung verbundenen Rechtsänderungen in das Grundbuch.</w:t>
      </w:r>
    </w:p>
    <w:p>
      <w:r>
        <w:rPr>
          <w:color w:val="555555"/>
          <w:sz w:val="17"/>
        </w:rPr>
        <w:t xml:space="preserve">Zitiervorschlag: Art 45 FoRG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https://recht.nulegal.eu/gesetze/FoRG/45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