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44 FoRG (Bayern)</w:t>
      </w:r>
    </w:p>
    <w:p>
      <w:r>
        <w:rPr>
          <w:color w:val="555555"/>
          <w:sz w:val="18"/>
        </w:rPr>
        <w:t xml:space="preserve">Gesetz über die Forstrechte</w:t>
      </w:r>
    </w:p>
    <w:p>
      <w:r>
        <w:rPr>
          <w:color w:val="555555"/>
          <w:sz w:val="18"/>
        </w:rPr>
        <w:t xml:space="preserve">Landesrecht Bayern</w:t>
      </w:r>
    </w:p>
    <w:p>
      <w:r>
        <w:rPr>
          <w:color w:val="555555"/>
          <w:sz w:val="18"/>
        </w:rPr>
        <w:t xml:space="preserve">Stand: 25.08.2026 (konsolidierte Textfassung, kein amtliches Inkrafttretensdatum)</w:t>
      </w:r>
    </w:p>
    <w:p>
      <w:r>
        <w:t xml:space="preserve">(1) Aus rechtskräftigen Entscheidungen der Forstrechtsstelle nach Art. 27 sowie aus Niederschriften über einen gütlichen Ausgleich nach Art. 42 Abs. 1 Satz 1 findet die Zwangsvollstreckung nach den Vorschriften der Zivilprozeßordnung über die Vollstreckung von Urteilen in bürgerlichen Rechtsstreitigkeiten statt.</w:t>
      </w:r>
    </w:p>
    <w:p>
      <w:r>
        <w:t xml:space="preserve">(2) Die vollstreckbare Ausfertigung wird von dem Urkundsbeamten der Geschäftsstelle des Amtsgerichts erteilt, in dessen Bezirk die Forstrechtsstelle ihren Sitz hat. In den Fällen der §§ 731, 767 bis 770, 785, 786, 791, 887, 888 und 890 der Zivilprozeßordnung tritt das Amtsgericht, in dessen Bezirk die Forstrechtsstelle ihren Sitz hat, an die Stelle des Prozeßgerichts.</w:t>
      </w:r>
    </w:p>
    <w:p>
      <w:r>
        <w:t xml:space="preserve">[Amtl. Anm.:] BGBl. FN 310-4</w:t>
      </w:r>
    </w:p>
    <w:p>
      <w:r>
        <w:rPr>
          <w:color w:val="555555"/>
          <w:sz w:val="17"/>
        </w:rPr>
        <w:t xml:space="preserve">Zitiervorschlag: Art 44 FoRG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https://recht.nulegal.eu/gesetze/FoRG/44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