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42 FoRG (Bayern)</w:t>
      </w:r>
    </w:p>
    <w:p>
      <w:r>
        <w:rPr>
          <w:color w:val="555555"/>
          <w:sz w:val="18"/>
        </w:rPr>
        <w:t xml:space="preserve">Gesetz über die Forstrechte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Forstrechtsstelle entscheidet, soweit ein gütlicher Ausgleich nicht zustandekommt, in geheimer Beratung.</w:t>
      </w:r>
    </w:p>
    <w:p>
      <w:r>
        <w:t xml:space="preserve">(2) Die Entscheidungen sind vom Vorsitzenden der Forstrechtsstelle zu unterzeichnen.</w:t>
      </w:r>
    </w:p>
    <w:p>
      <w:r>
        <w:rPr>
          <w:color w:val="555555"/>
          <w:sz w:val="17"/>
        </w:rPr>
        <w:t xml:space="preserve">Zitiervorschlag: Art 42 FoRG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https://recht.nulegal.eu/gesetze/FoRG/42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