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Beisitzer haben Anspruch auf Ersatz ihrer notwendigen Auslagen und ihres Verdienstausfalls nach §§ 2 bis 5 und 9 bis 11 des Gesetzes über die Entschädigung der ehrenamtlichen Richter in der Fassung der Bekanntmachung vom 1. Oktober 1969 (BGBl. I S. 1753), zuletzt geändert durch Gesetz vom 24. Juni 1994 (BGBl I S. 1325). Für die Festsetzung der Entschädigung ist die Regierung zuständig, bei der die Forstrechtsstelle gebildet ist.</w:t>
      </w:r>
    </w:p>
    <w:p>
      <w:r>
        <w:t xml:space="preserve">[Amtl. Anm.:] BGBl. FN 366-1</w:t>
      </w:r>
    </w:p>
    <w:p>
      <w:r>
        <w:rPr>
          <w:color w:val="555555"/>
          <w:sz w:val="17"/>
        </w:rPr>
        <w:t xml:space="preserve">Zitiervorschlag: Art 35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