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Übernahme des Amts als Beisitzer kann nur aus wichtigen Gründen abgelehnt werden. Als wichtiger Grund ist insbesondere anzusehen, wenn der Verpflichtete</w:t>
      </w:r>
    </w:p>
    <w:p>
      <w:r>
        <w:t xml:space="preserve">1. durch sein Alter, seine Berufs- oder Familienverhältnisse, seinen Gesundheitszustand oder sonstige in seiner Person liegende Umstände an der Übernahme des Amts verhindert ist oder</w:t>
      </w:r>
    </w:p>
    <w:p>
      <w:r>
        <w:t xml:space="preserve">2. in den sechs der Berufung vorausgegangenen Jahren bereits als Beisitzer einer Forstrechtsstelle tätig gewesen ist.</w:t>
      </w:r>
    </w:p>
    <w:p>
      <w:r>
        <w:t xml:space="preserve">(2) Über die Berechtigung zur Ablehnung entscheidet die Regierung.</w:t>
      </w:r>
    </w:p>
    <w:p>
      <w:r>
        <w:rPr>
          <w:color w:val="555555"/>
          <w:sz w:val="17"/>
        </w:rPr>
        <w:t xml:space="preserve">Zitiervorschlag: Art 31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