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 FoRG (Bayern)</w:t>
      </w:r>
    </w:p>
    <w:p>
      <w:r>
        <w:rPr>
          <w:color w:val="555555"/>
          <w:sz w:val="18"/>
        </w:rPr>
        <w:t xml:space="preserve">Gesetz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Forstrechtsstellen entscheiden:</w:t>
      </w:r>
    </w:p>
    <w:p>
      <w:r>
        <w:t xml:space="preserve">a) über Streitigkeiten bei der Ausübung von Forstrechten unbeschadet der Bestimmungen des Art. 41,</w:t>
      </w:r>
    </w:p>
    <w:p>
      <w:r>
        <w:t xml:space="preserve">b) über Streitigkeiten bei der Ersatzleistung (Art. 11 und 12),</w:t>
      </w:r>
    </w:p>
    <w:p>
      <w:r>
        <w:t xml:space="preserve">c) über die Regelung und Ablösung von Forstrechten und ihre Durchführung,</w:t>
      </w:r>
    </w:p>
    <w:p>
      <w:r>
        <w:t xml:space="preserve">d) über die sonstigen in diesem Gesetz der Forstrechtsstelle übertragenen Angelegenheiten.</w:t>
      </w:r>
    </w:p>
    <w:p>
      <w:r>
        <w:rPr>
          <w:color w:val="555555"/>
          <w:sz w:val="17"/>
        </w:rPr>
        <w:t xml:space="preserve">Zitiervorschlag: Art 27 FoRG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