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FoRG (Bayern)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Forstrechtsstellen werden in der erforderlichen Zahl bei den Regierungen gebildet. Ihre Tätigkeit kann sich auf mehrere Regierungsbezirke erstrecken. Sie entscheiden in der Besetzung mit einem Vorsitzenden und zwei Beisitzern.</w:t>
      </w:r>
    </w:p>
    <w:p>
      <w:r>
        <w:t xml:space="preserve">(2) Fachlich zuständige Aufsichtsbehörde im Sinn von Art. 3 Abs. 2 Satz 1 des Bayerischen Verwaltungsverfahrensgesetzes (BayVwVfG) ist das Staatsministerium des Innern, für Sport und Integration.</w:t>
      </w:r>
    </w:p>
    <w:p>
      <w:r>
        <w:t xml:space="preserve">(3) (aufgehoben)</w:t>
      </w:r>
    </w:p>
    <w:p>
      <w:r>
        <w:t xml:space="preserve">[Amtl. Anm.:] BayRS 2010-1-I</w:t>
      </w:r>
    </w:p>
    <w:p>
      <w:r>
        <w:rPr>
          <w:color w:val="555555"/>
          <w:sz w:val="17"/>
        </w:rPr>
        <w:t xml:space="preserve">Zitiervorschlag: Art 26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