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FoRG (Bayern) — Erhöhung der Abfindung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den nach dem oberbayerischen Fixierungsverfahren geregelten Holzrechten wird</w:t>
      </w:r>
    </w:p>
    <w:p>
      <w:r>
        <w:t xml:space="preserve">a) das Recht auf den Bezug der im Ablösungszeitpunkt noch nicht genutzten Abnutzungsentschädigung samt Zuschlag mit dem einfachen Wert von Abnutzungsentschädigung und Zuschlag,</w:t>
      </w:r>
    </w:p>
    <w:p>
      <w:r>
        <w:t xml:space="preserve">b) das Recht auf den Bezug von Schadensholz mit vier v.H. des Werts der vereinbarten Schadensholzmenge abgefunden.</w:t>
      </w:r>
    </w:p>
    <w:p>
      <w:r>
        <w:t xml:space="preserve">(2) Bei den nach Art. 14 Abs. 3 geregelten Holzrechten wird das Recht auf den Bezug der im Ablösungszeitpunkt noch nicht genutzten Abnutzungsentschädigung mit dem einfachen Wert der Abnutzungsentschädigung abgefunden.</w:t>
      </w:r>
    </w:p>
    <w:p>
      <w:r>
        <w:t xml:space="preserve">(3) Der Wert der nach Absatz 1 oder 2 abzulösenden Holzmengen ist um den Wert der unständigen Gegenreichnisse und den Wert der nach Art. 20 Abs. 4 anrechenbaren Werbungskosten zu kürzen.</w:t>
      </w:r>
    </w:p>
    <w:p>
      <w:r>
        <w:rPr>
          <w:color w:val="555555"/>
          <w:sz w:val="17"/>
        </w:rPr>
        <w:t xml:space="preserve">Zitiervorschlag: Art 21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