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17a FoRG (Bayern) — Umwandlung von Waldweiderechten in Nutzholzrechte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Waldweiderechte können durch freiwillige Vereinbarung in gemessene jährliche Nutzholzrechte umgewandelt werden; bislang auf den Bedarf lautende Waldweiderechte bedürfen der vorherigen Festmessung. Bei belasteten Grundstücken im Eigentum des Freistaates Bayern soll diese Umwandlung vorgenommen werden, wenn</w:t>
      </w:r>
    </w:p>
    <w:p>
      <w:r>
        <w:t xml:space="preserve">1. an der Weidefreistellung der belasteten Waldfläche ein öffentliches Interesse besteht und</w:t>
      </w:r>
    </w:p>
    <w:p>
      <w:r>
        <w:t xml:space="preserve">2. das Waldweiderecht damit oder in Verbindung mit anderen Bereinigungsformen vollständig aufgehoben wird.</w:t>
      </w:r>
    </w:p>
    <w:p>
      <w:r>
        <w:t xml:space="preserve">Das Holzbezugsrecht ruht, solange das Gebäude auf dem herrschenden Grundstück nicht mehr der Landwirtschaft dient oder nicht mehr besteht.</w:t>
      </w:r>
    </w:p>
    <w:p>
      <w:r>
        <w:rPr>
          <w:color w:val="555555"/>
          <w:sz w:val="17"/>
        </w:rPr>
        <w:t xml:space="preserve">Zitiervorschlag: Art 17a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https://recht.nulegal.eu/gesetze/FoRG/17a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