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 FoRG (Bayern) — Einschränkung von Holznutzungsrechten</w:t>
      </w:r>
    </w:p>
    <w:p>
      <w:r>
        <w:rPr>
          <w:color w:val="555555"/>
          <w:sz w:val="18"/>
        </w:rPr>
        <w:t xml:space="preserve">Gesetz über die Forstrechte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Holznutzungsrechte sind auf Antrag des Verpflichteten einzuschränken, wenn die Leistungsfähigkeit der belasteten Grundstücke infolge höherer Gewalt (Eis-, Schnee-, Windbruch, Insekten- oder Pilzbefall, Brand, anhaltende Grundwassersenkung und ähnliches), infolge zwingend gebotener Änderung der Betriebsart oder infolge landes- oder bundesrechtlicher Maßnahmen wesentlich vermindert ist und die weitere rechtstitelgemäße Gewährung der Rechtsbezüge die nachhaltige Bewirtschaftung der belasteten Grundstücke gefährden würde.</w:t>
      </w:r>
    </w:p>
    <w:p>
      <w:r>
        <w:t xml:space="preserve">(2) Die Einschränkung besteht in einer auf einen bestimmten Zeitraum begrenzten Herabsetzung des rechtstitelgemäßen Nutzungsmaßes. Sie ist gleichmäßig bei sämtlichen gleichartigen Forstrechten durchzuführen, die auf den belasteten Grundstücken ruhen.</w:t>
      </w:r>
    </w:p>
    <w:p>
      <w:r>
        <w:t xml:space="preserve">(3) Der Berechtigte erhält für den jeweils fälligen Naturalbezug, der ihm durch die Einschränkung infolge Änderung der Betriebsart oder infolge landes- oder bundesrechtlicher Maßnahmen entgeht, eine Geldentschädigung; ihre Höhe bemißt sich nach den örtlichen Marktpreisen. Die Bestimmungen des Art. 20 Abs. 3 und 4 gelten entsprechend. Die Bestimmung des Art. 24 Abs. 2 Satz 2 gilt sinngemäß.</w:t>
      </w:r>
    </w:p>
    <w:p>
      <w:r>
        <w:rPr>
          <w:color w:val="555555"/>
          <w:sz w:val="17"/>
        </w:rPr>
        <w:t xml:space="preserve">Zitiervorschlag: Art 15 FoRG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https://recht.nulegal.eu/gesetze/FoRG/15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