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FoMaFüPrV</w:t>
      </w:r>
    </w:p>
    <w:p>
      <w:r>
        <w:rPr>
          <w:color w:val="555555"/>
          <w:sz w:val="18"/>
        </w:rPr>
        <w:t xml:space="preserve">Forstmaschinenführer-Prüfungsverordnung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3 in Verbindung mit Absatz 1 und 2 des Berufsbildungsgesetzes vom 23. März 2005 (BGBl. I S. 931), dessen Absätze 1 und 3 durch Artikel 232 Nummer 3 Buchstabe a und b der Verordnung vom 31. Oktober 2006 (BGBl. I S. 2407) geändert worden sind, verordnet das Bundesministerium für Ernährung, Landwirtschaft und Verbraucherschutz im Einvernehmen mit dem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FoMaFüPrV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https://recht.nulegal.eu/gesetze/FoMaF%C3%BCPrV/eingangsformel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