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FoAV (Brandenburg) — Arten der Entschädigung</w:t>
      </w:r>
    </w:p>
    <w:p>
      <w:r>
        <w:rPr>
          <w:color w:val="555555"/>
          <w:sz w:val="18"/>
        </w:rPr>
        <w:t xml:space="preserve">Forstausschussverordnung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Tätigkeit im Forstausschuss ist ehrenamtlich.</w:t>
      </w:r>
    </w:p>
    <w:p>
      <w:r>
        <w:t xml:space="preserve">(2) Die Mitglieder des Forstausschusses sowie die stellvertretenden Mitglieder in Wahrnehmung ihrer Stellvertreterfunktion erhalten auf Antrag</w:t>
      </w:r>
    </w:p>
    <w:p>
      <w:r>
        <w:t xml:space="preserve">eine Entschädigung für den Zeitaufwand (Sitzungstagegeld) nach § 7,</w:t>
      </w:r>
    </w:p>
    <w:p>
      <w:r>
        <w:t xml:space="preserve">eine Fahrtkostenentschädigung nach § 8 und</w:t>
      </w:r>
    </w:p>
    <w:p>
      <w:r>
        <w:t xml:space="preserve">eine Entschädigung für Verdienstausfall nach § 9.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FoAV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https://recht.nulegal.eu/gesetze/FoAV/6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