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FoAV (Brandenburg) — Beschlussfähigkeit, Beschlussfassung</w:t>
      </w:r>
    </w:p>
    <w:p>
      <w:r>
        <w:rPr>
          <w:color w:val="555555"/>
          <w:sz w:val="18"/>
        </w:rPr>
        <w:t xml:space="preserve">Forstausschussverordnung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Forstausschuss ist beschlussfähig, wenn mindestens die einfache Mehrheit der Mitglieder anwesend ist.</w:t>
      </w:r>
    </w:p>
    <w:p>
      <w:r>
        <w:t xml:space="preserve">(2) Beschlüsse des Forstausschusses bedürfen der einfachen Mehrheit der abgegebenen Stimmen. Bei Stimmengleichheit gibt die Stimme der vorsitzenden Person, bei deren Verhinderung die Stimme der Stellvertretung, den Ausschlag.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FoAV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https://recht.nulegal.eu/gesetze/FoAV/5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