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FoAV (Brandenburg) — Vertretung</w:t>
      </w:r>
    </w:p>
    <w:p>
      <w:r>
        <w:rPr>
          <w:color w:val="555555"/>
          <w:sz w:val="18"/>
        </w:rPr>
        <w:t xml:space="preserve">Forstausschussverordnung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Forstausschuss wählt aus seiner Mitte eine vorsitzende Person sowie eine Stellvertretung. Der Forstausschuss wird durch die vorsitzende Person, bei deren Verhinderung durch die Stellvertretung, vertreten.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FoAV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https://recht.nulegal.eu/gesetze/FoAV/3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