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FoAV (Brandenburg) — Inkrafttreten, Außerkrafttreten</w:t>
      </w:r>
    </w:p>
    <w:p>
      <w:r>
        <w:rPr>
          <w:color w:val="555555"/>
          <w:sz w:val="18"/>
        </w:rPr>
        <w:t xml:space="preserve">Forstausschussverordnung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Forstausschussverordnung vom 13. Januar 2010 (GVBl. II Nr. 3) außer Kraft.</w:t>
      </w:r>
    </w:p>
    <w:p>
      <w:r>
        <w:t xml:space="preserve">Einzelnorm</w:t>
      </w:r>
    </w:p>
    <w:p>
      <w:r>
        <w:t xml:space="preserve">Potsdam, den 4. Juni 2020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11 FoAV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https://recht.nulegal.eu/gesetze/FoAV/11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