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FlusAAGV</w:t>
      </w:r>
    </w:p>
    <w:p>
      <w:r>
        <w:rPr>
          <w:color w:val="555555"/>
          <w:sz w:val="18"/>
        </w:rPr>
        <w:t xml:space="preserve">FS-An- und Abflug-Kostenverordnung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 Der Bundesminister für Verkehr</w:t>
      </w:r>
    </w:p>
    <w:p>
      <w:r>
        <w:rPr>
          <w:color w:val="555555"/>
          <w:sz w:val="17"/>
        </w:rPr>
        <w:t xml:space="preserve">Zitiervorschlag: Schlußformel FlusAAGV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https://recht.nulegal.eu/gesetze/FlusAAGV/schlussformel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