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FlusAAGV — Auszug aus EinigVtr Anlage I Kapitel XI Sachgebiet C Abschnitt III (BGBl. II 1990, 889, 1106)</w:t>
      </w:r>
    </w:p>
    <w:p>
      <w:r>
        <w:rPr>
          <w:color w:val="555555"/>
          <w:sz w:val="18"/>
        </w:rPr>
        <w:t xml:space="preserve">FS-An- und Abflug-Kostenverordnung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Bundesrecht tritt in dem in Artikel 3 des Vertrages genannten Gebiet mit folgenden Maßgaben in Kraft: 1. bis 3. ...</w:t>
      </w:r>
    </w:p>
    <w:p>
      <w:pPr>
        <w:ind w:left="420"/>
      </w:pPr>
      <w:r>
        <w:t xml:space="preserve">4. Verordnung über die Erhebung von Gebühren für die Inanspruchnahme von Diensten und Einrichtungen der Flugsicherung beim An- und Abflug vom 28. September 1989 (BGBl. I S. 1809)jeweils mit folgender Maßgabe:Bei den unter Nummern 3 und 4 genannten Rechtsvorschriften sind Flüge militärischer Luftfahrzeuge der Warschauer Vertragsstaaten denen der NATO-Mitgliedstaaten gebührenrechtlich gleichgestellt.</w:t>
      </w:r>
    </w:p>
    <w:p>
      <w:r>
        <w:rPr>
          <w:color w:val="555555"/>
          <w:sz w:val="17"/>
        </w:rPr>
        <w:t xml:space="preserve">Zitiervorschlag: Anhang EV FlusAAGV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https://recht.nulegal.eu/gesetze/FlusAAGV/anhang-ev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