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folgende Inanspruchnahmen werden keine Kosten erhoben:</w:t>
      </w:r>
    </w:p>
    <w:p>
      <w:pPr>
        <w:ind w:left="420"/>
      </w:pPr>
      <w:r>
        <w:t xml:space="preserve">1. durch militärische Luftfahrzeuge der NATO-Mitgliedstaaten;</w:t>
      </w:r>
    </w:p>
    <w:p>
      <w:pPr>
        <w:ind w:left="420"/>
      </w:pPr>
      <w:r>
        <w:t xml:space="preserve">2. durch militärische Luftfahrzeuge anderer als NATO-Mitgliedstaaten, wenn auch von dem betreffenden Staat für Flüge militärischer Luftfahrzeuge der Bundesrepublik Deutschland eine entsprechende Kostenbefreiung gewährt wird.</w:t>
      </w:r>
    </w:p>
    <w:p>
      <w:r>
        <w:rPr>
          <w:color w:val="555555"/>
          <w:sz w:val="17"/>
        </w:rPr>
        <w:t xml:space="preserve">Zitiervorschlag: § 4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