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FlusAAGV</w:t>
      </w:r>
    </w:p>
    <w:p>
      <w:r>
        <w:rPr>
          <w:color w:val="555555"/>
          <w:sz w:val="18"/>
        </w:rPr>
        <w:t xml:space="preserve">FS-An- und Abflug-Kostenverordnung</w:t>
      </w:r>
    </w:p>
    <w:p>
      <w:r>
        <w:rPr>
          <w:color w:val="555555"/>
          <w:sz w:val="18"/>
        </w:rPr>
        <w:t xml:space="preserve">Stand: 03.01.2026 (konsolidierte Textfassung, kein amtliches Inkrafttretensdatum)</w:t>
      </w:r>
    </w:p>
    <w:p>
      <w:r>
        <w:t xml:space="preserve">(1) Für die Inanspruchnahme von Diensten und Einrichtungen der Flugsicherung durch Luftfahrzeuge beim An- und Abflug an den Flughäfen Berlin Brandenburg, Bremen, Dresden, Düsseldorf, Erfurt-Weimar, Frankfurt Main, Hamburg, Hannover, Köln/Bonn, Leipzig/Halle, München, Münster/Osnabrück, Nürnberg, Saarbrücken und Stuttgart werden Kosten (Gebühren und Auslagen) erhoben (Gebührenbereich 1).</w:t>
      </w:r>
    </w:p>
    <w:p>
      <w:r>
        <w:t xml:space="preserve">(1a) Ferner werden für die Inanspruchnahme von Diensten und Einrichtungen der Flugsicherung durch Luftfahrzeuge beim An- und Abflug an den Flugplätzen Allendorf-Eder, Augsburg, Bamberg-Breitenau, Bautzen, Bayreuth, Braunschweig-Wolfsburg, Coburg-Brandensteinsebene, Donaueschingen-Villingen, Donauwörth HEL, Dortmund, Eggenfelden, Emden, Frankfurt-Egelsbach, Frankfurt-Hahn, Friedrichshafen, Giebelstadt, Hamburg-Finkenwerder, Hassfurt-Schweinfurt, Heringsdorf, Hof-Plauen, Karlsruhe/ Baden-Baden, Kassel-Calden, Kiel-Holtenau, Lahr, Leipzig-Altenburg Airport, Lübeck-Blankensee, Magdeburg/City, Magdeburg/Cochstedt, Mannheim City, Memmingen, Mengen-Hohentengen, Mönchengladbach, Neubrandenburg, Niederrhein, Oberpfaffenhofen, Paderborn/Lippstadt, Schönhagen, Schwäbisch Hall, Siegerland, Speyer, Straubing, Strausberg, Sylt, Wilhelmshaven Jadeweser Airport und Zweibrücken Kosten (Gebühren und Auslagen) erhoben (Gebührenbereich 2).</w:t>
      </w:r>
    </w:p>
    <w:p>
      <w:r>
        <w:t xml:space="preserve">(1b) Die Art des notwendigen Flugsicherungsdienstes bestimmt sich nach der Anlage.</w:t>
      </w:r>
    </w:p>
    <w:p>
      <w:r>
        <w:t xml:space="preserve">(2) Zu den nach § 10 Abs. 1 des Verwaltungskostengesetzes in der bis zum 14. August 2013 geltenden Fassung zu erhebenden Auslagen ist die auf die Kosten nach den Absätzen 1 und 1a entfallende, gesetzlich geschuldete Umsatzsteuer hinzuzurechnen.</w:t>
      </w:r>
    </w:p>
    <w:p>
      <w:r>
        <w:t xml:space="preserve">(3) An- und Abflug sowie wiederholte Durchstartanflüge gelten als eine einzige Inanspruchnahme. Zähleinheit des Gebührenbereichs 1 ist der Abflug. Zähleinheit des Gebührenbereichs 2 ist die Landung.</w:t>
      </w:r>
    </w:p>
    <w:p>
      <w:r>
        <w:rPr>
          <w:color w:val="555555"/>
          <w:sz w:val="17"/>
        </w:rPr>
        <w:t xml:space="preserve">Zitiervorschlag: § 1 FlusAAGV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https://recht.nulegal.eu/gesetze/FlusAAGV/1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