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Abfindungen sind nach Möglichkeit durch Vereinbarungen mit den Beteiligten zu bestimmen. Die Vereinbarungen bedürfen der Genehmigung der Flurbereinigungsbehörde. Zu ihrer Wirksamkeit genügt die schriftliche Form (§ 126 des Bürgerlichen Gesetzbuchs).</w:t>
      </w:r>
    </w:p>
    <w:p>
      <w:r>
        <w:t xml:space="preserve">(2) Die Flurbereinigungsbehörde kann geeignete Stellen, insbesondere die landwirtschaftliche Berufsvertretung oder Dienststellen der landwirtschaftlichen Verwaltung, mit deren Zustimmung oder sachkundige Personen beauftragen, die Verhandlungen zur Erzielung einer Vereinbarung mit den Beteiligten zu führen und einen Zusammenlegungsplan vorzulegen. Der Auftrag kann zurückgezogen werden.</w:t>
      </w:r>
    </w:p>
    <w:p>
      <w:r>
        <w:t xml:space="preserve">(3) Ist eine Vereinbarung nicht zu erzielen, so werden die Abfindungen von Amts wegen durch die Flurbereinigungsbehörde bestimmt. Dabei sind die Ergebnisse einer Vorplanung nach § 1 Abs. 2 des Gesetzes über die Gemeinschaftsaufgabe "Verbesserung der Agrarstruktur und des Küstenschutzes" vom 3. September 1969 (Bundesgesetzbl. I S. 1573), geändert durch das Gesetz zur Änderung der Gesetze über die Gemeinschaftsaufgaben vom 23. Dezember 1971 (Bundesgesetzbl. I S. 2140), Vorplanungen der landwirtschaftlichen Berufsvertretung oder anderer landwirtschaftlicher Stellen sowie des Naturschutzes und der Landschaftspflege in dem möglichen Umfange zu berücksichtigen, die Erfordernisse der Raumordnung, der Landesplanung und des Städtebaues sind zu beachten; die übrigen Vorschriften der §§ 38 und 56 sind nicht anzuwenden.</w:t>
      </w:r>
    </w:p>
    <w:p>
      <w:r>
        <w:rPr>
          <w:color w:val="555555"/>
          <w:sz w:val="17"/>
        </w:rPr>
        <w:t xml:space="preserve">Zitiervorschlag: § 99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