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Nachträgliche Änderungen des Zusammenlegungsgebietes bedürfen der Zustimmung des Vorstandes der Teilnehmergemeinschaft.</w:t>
      </w:r>
    </w:p>
    <w:p>
      <w:r>
        <w:t xml:space="preserve">(2) Die Einstellung des Verfahrens kann nach Anhörung des Vorstandes der Teilnehmergemeinschaft und der landwirtschaftlichen Berufsvertretung von der Flurbereinigungsbehörde mit Zustimmung der oberen Flurbereinigungsbehörde angeordnet werden, wenn seine Durchführung unzweckmäßig erscheint. § 93 Abs. 2 ist sinngemäß anzuwenden.</w:t>
      </w:r>
    </w:p>
    <w:p>
      <w:r>
        <w:rPr>
          <w:color w:val="555555"/>
          <w:sz w:val="17"/>
        </w:rPr>
        <w:t xml:space="preserve">Zitiervorschlag: § 94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