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Zusammenlegung ist einzuleiten, wenn mehrere Grundstückseigentümer oder die landwirtschaftliche Berufsvertretung sie beantragen. Für Maßnahmen des Naturschutzes und der Landschaftspflege kann sie auch eingeleitet werden, wenn die für Naturschutz und Landschaftspflege zuständige Behörde sie beantragt und die Zusammenlegung zugleich dem Interesse der betroffenen Grundstückseigentümer dient.</w:t>
      </w:r>
    </w:p>
    <w:p>
      <w:r>
        <w:t xml:space="preserve">(2) Für die Anordnung der Zusammenlegung (Zusammenlegungsbeschluß) gelten § 6 Abs. 1 und § 86 Abs. 2 Nr. 1 entsprechend. Vor der Anordnung sind die voraussichtlich beteiligten Grundstückseigentümer, die landwirtschaftliche Berufsvertretung, die Gemeinde und der Gemeindeverband zu hören.</w:t>
      </w:r>
    </w:p>
    <w:p>
      <w:r>
        <w:rPr>
          <w:color w:val="555555"/>
          <w:sz w:val="17"/>
        </w:rPr>
        <w:t xml:space="preserve">Zitiervorschlag: § 93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