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Erscheint die Flurbereinigung infolge nachträglich eingetretener Umstände nicht zweckmäßig, so kann die obere Flurbereinigungsbehörde die Einstellung des Verfahrens anordnen. Die Vorschriften des § 4 zweiter Halbsatz, des § 5 Abs. 1 und 2 und des § 6 Abs. 2 und 3 gelten sinngemäß.</w:t>
      </w:r>
    </w:p>
    <w:p>
      <w:r>
        <w:t xml:space="preserve">(2) Die Flurbereinigungsbehörde sorgt für die Herstellung eines geordneten Zustandes und für den Ausgleich der entstandenen Kosten, nötigenfalls unter Aufwendung von öffentlichen Mitteln.</w:t>
      </w:r>
    </w:p>
    <w:p>
      <w:r>
        <w:rPr>
          <w:color w:val="555555"/>
          <w:sz w:val="17"/>
        </w:rPr>
        <w:t xml:space="preserve">Zitiervorschlag: § 9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