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Soweit im Falle des § 87 ein Teilnehmer nach dem für das Unternehmen geltenden Gesetz keinen Anspruch auf Entschädigung in Land hat, kann die Enteignungsbehörde entscheiden, daß er im Flurbereinigungsverfahren in Geld zu entschädigen ist. Die Anfechtung der Entscheidung richtet sich nach dem für das Unternehmen geltenden Gesetz.</w:t>
      </w:r>
    </w:p>
    <w:p>
      <w:r>
        <w:t xml:space="preserve">(2) Über die Höhe der Geldentschädigung entscheidet die Flurbereinigungsbehörde, nachdem die Entscheidung nach Absatz 1 unanfechtbar geworden ist. Abweichend von § 88 Nr. 7 kann die Entscheidung über die Höhe der Geldentschädigung bereits angefochten werden, sobald sie ergangen ist. Die Geldentschädigung kann schon vor der Ausführung des Flurbereinigungsplanes ausgezahlt werden; § 52 Abs. 3 und § 53 Abs. 2 gelten sinngemäß.</w:t>
      </w:r>
    </w:p>
    <w:p>
      <w:r>
        <w:rPr>
          <w:color w:val="555555"/>
          <w:sz w:val="17"/>
        </w:rPr>
        <w:t xml:space="preserve">Zitiervorschlag: § 89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