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Ist aus besonderem Anlaß eine Enteignung zulässig, durch die ländliche Grundstücke in großem Umfange in Anspruch genommen würden, so kann auf Antrag der Enteignungsbehörde ein Flurbereinigungsverfahren eingeleitet werden, wenn der den Betroffenen entstehende Landverlust auf einen größeren Kreis von Eigentümern verteilt oder Nachteile für die allgemeine Landeskultur, die durch das Unternehmen entstehen, vermieden werden sollen. Das Ausmaß der Verteilung des Landverlustes ist im Einvernehmen mit der landwirtschaftlichen Berufsvertretung zu regeln.</w:t>
      </w:r>
    </w:p>
    <w:p>
      <w:r>
        <w:t xml:space="preserve">(2) Das Flurbereinigungsverfahren kann bereits angeordnet werden, wenn das Planfeststellungsverfahren oder ein entsprechendes Verfahren für das Unternehmen, zu dessen Gunsten die Enteignung durchgeführt werden soll, eingeleitet ist. Die Bekanntgabe des Flurbereinigungsplanes (§ 59) und die vorläufige Einweisung der Beteiligten in den Besitz der neuen Grundstücke (§ 65) dürfen erst vorgenommen werden, nachdem die Planfeststellung für das Unternehmen oder der entsprechende Verwaltungsakt unanfechtbar geworden oder für vollziehbar erklärt worden ist.</w:t>
      </w:r>
    </w:p>
    <w:p>
      <w:r>
        <w:t xml:space="preserve">(3) Wird das Planfeststellungsverfahren oder das entsprechende Verfahren eingestellt, so soll auch das Flurbereinigungsverfahren eingestellt werden (§ 9). Die obere Flurbereinigungsbehörde kann jedoch anordnen, daß das Flurbereinigungsverfahren als ein Verfahren nach Maßgabe der §§ 1 und 37 oder des § 86 durchzuführen ist, wenn sie die Durchführung eines solchen Verfahrens für erforderlich und das Interesse der Beteiligten für gegeben hält; § 5 Abs. 1 und 2 und § 6 Abs. 2 und 3 sind entsprechend anzuwenden.</w:t>
      </w:r>
    </w:p>
    <w:p>
      <w:r>
        <w:t xml:space="preserve">(4) Die obere Flurbereinigungsbehörde kann auf Antrag der Enteignungsbehörde anordnen, daß ein Flurbereinigungsverfahren als ein Verfahren unter Anwendung der §§ 87 bis 89 durchgeführt wird, wenn die Voraussetzungen des Absatzes 1 vorliegen; § 5 Abs. 1 und 2 und § 6 Abs. 2 und 3 sind entsprechend anzuwenden.</w:t>
      </w:r>
    </w:p>
    <w:p>
      <w:r>
        <w:rPr>
          <w:color w:val="555555"/>
          <w:sz w:val="17"/>
        </w:rPr>
        <w:t xml:space="preserve">Zitiervorschlag: § 87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