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84 FlurbG</w:t>
      </w:r>
    </w:p>
    <w:p>
      <w:r>
        <w:rPr>
          <w:color w:val="555555"/>
          <w:sz w:val="18"/>
        </w:rPr>
        <w:t xml:space="preserve">Flurbereinigungsgesetz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Ländlicher Grundbesitz im Sinne dieses Gesetzes sind auch Waldgrundstücke.</w:t>
      </w:r>
    </w:p>
    <w:p>
      <w:r>
        <w:rPr>
          <w:color w:val="555555"/>
          <w:sz w:val="17"/>
        </w:rPr>
        <w:t xml:space="preserve">Zitiervorschlag: § 84 FlurbG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https://recht.nulegal.eu/gesetze/FlurbG/84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