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Bis zur Berichtigung des Liegenschaftskatasters dient der Flurbereinigungsplan als amtliches Verzeichnis der Grundstücke (§ 2 Abs. 2 der Grundbuchordnung).</w:t>
      </w:r>
    </w:p>
    <w:p>
      <w:r>
        <w:t xml:space="preserve">(2) Hat die Flurbereinigungsbehörde die Unterlagen zur Berichtigung des Liegenschaftskatasters an die für die Führung des Liegenschaftskatasters zuständige Behörde abgegeben, so ist für die Fortführung der Unterlagen auch vor Abschluß der Berichtigung diese Behörde zuständig.</w:t>
      </w:r>
    </w:p>
    <w:p>
      <w:r>
        <w:rPr>
          <w:color w:val="555555"/>
          <w:sz w:val="17"/>
        </w:rPr>
        <w:t xml:space="preserve">Zitiervorschlag: § 81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