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Geringfügige Änderungen des Flurbereinigungsgebietes kann die Flurbereinigungsbehörde anordnen. § 4 zweiter Halbsatz gilt entsprechend. Die Anordnung braucht nicht bekanntgemacht zu werden. Sie ist den an der Änderung beteiligten Grundstückseigentümern mitzuteilen.</w:t>
      </w:r>
    </w:p>
    <w:p>
      <w:r>
        <w:t xml:space="preserve">(2) Für erhebliche Änderungen gelten die Vorschriften der §§ 4 bis 6.</w:t>
      </w:r>
    </w:p>
    <w:p>
      <w:r>
        <w:t xml:space="preserve">(3) Die obere Flurbereinigungsbehörde kann bis zur Ausführungsanordnung das Flurbereinigungsgebiet in mehrere Flurbereinigungsgebiete teilen. § 4 zweiter Halbsatz und § 6 Abs. 2 und 3 gelten entsprechend.</w:t>
      </w:r>
    </w:p>
    <w:p>
      <w:r>
        <w:rPr>
          <w:color w:val="555555"/>
          <w:sz w:val="17"/>
        </w:rPr>
        <w:t xml:space="preserve">Zitiervorschlag: § 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