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79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Eintritt des neuen Rechtszustandes sind die öffentlichen Bücher auf Ersuchen der Flurbereinigungsbehörde nach dem Flurbereinigungsplan zu berichtigen.</w:t>
      </w:r>
    </w:p>
    <w:p>
      <w:r>
        <w:t xml:space="preserve">(2) Für Rechtsänderungen, die von der Entscheidung in einem Rechtsbehelfsverfahren abhängig sind, ist das Ersuchen erst zu stellen, wenn die Entscheidung unanfechtbar geworden ist.</w:t>
      </w:r>
    </w:p>
    <w:p>
      <w:r>
        <w:rPr>
          <w:color w:val="555555"/>
          <w:sz w:val="17"/>
        </w:rPr>
        <w:t xml:space="preserve">Zitiervorschlag: § 79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https://recht.nulegal.eu/gesetze/FlurbG/79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