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77 FlurbG</w:t>
      </w:r>
    </w:p>
    <w:p>
      <w:r>
        <w:rPr>
          <w:color w:val="555555"/>
          <w:sz w:val="18"/>
        </w:rPr>
        <w:t xml:space="preserve">Flurbereinigungsgesetz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der §§ 74 bis 76 gelten entsprechend, wenn Rechte Dritter an den Rechten bestehen, die nach § 74 zu wahren sind oder deren Inhaber nach den §§ 49 oder 73 in Geld abgefunden werden.</w:t>
      </w:r>
    </w:p>
    <w:p>
      <w:r>
        <w:rPr>
          <w:color w:val="555555"/>
          <w:sz w:val="17"/>
        </w:rPr>
        <w:t xml:space="preserve">Zitiervorschlag: § 77 FlurbG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https://recht.nulegal.eu/gesetze/FlurbG/77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