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Erhält ein Teilnehmer neben einer Landabfindung eine Geldabfindung und übersteigt diese den Betrag von tausend Deutsche Mark oder den zwanzigsten Teil des Wertes (§§ 28 und 29) der belasteten alten Grundstücke, so hat die Flurbereinigungsbehörde die Abfindung den in § 74 bezeichneten Berechtigten mit dem Hinweis bekanntzugeben, daß ihre Rechte an der Geldabfindung im Flurbereinigungsverfahren nur gewahrt werden, wenn sie dies innerhalb eines Monats beantragen.</w:t>
      </w:r>
    </w:p>
    <w:p>
      <w:r>
        <w:t xml:space="preserve">(2) Wird rechtzeitig ein Antrag gestellt, so hat die Flurbereinigungsbehörde das Recht des Antragstellers, soweit es unter Berücksichtigung der im Range vorgehenden Rechte durch den Wert der Landabfindung für die belasteten alten Grundstücke nicht gesichert ist, und die im Range nachstehenden Rechte entsprechend den Vorschriften des § 74 zu wahren. Dies gilt nicht, wenn der Teilnehmer innerhalb einer von der Flurbereinigungsbehörde zu bestimmenden Frist die geschmälerte Sicherheit dadurch wiederherstellt, daß er im Range vorgehende Rechte beseitigt, andere Grundstücke den Abfindungsgrundstücken als Bestandteile zuschreiben läßt oder das Abfindungsgrundstück dauerhaft verbessert.</w:t>
      </w:r>
    </w:p>
    <w:p>
      <w:r>
        <w:rPr>
          <w:color w:val="555555"/>
          <w:sz w:val="17"/>
        </w:rPr>
        <w:t xml:space="preserve">Zitiervorschlag: § 76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