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Wird ein Teilnehmer nur in Geld abgefunden, so sind die Rechte nach § 72 Abs. 1, soweit sie aus dem Grundbuch ersichtlich oder sonst bekannt sind, nach folgenden Vorschriften zu wahren:</w:t>
      </w:r>
    </w:p>
    <w:p>
      <w:pPr>
        <w:ind w:left="420"/>
      </w:pPr>
      <w:r>
        <w:t xml:space="preserve">1. Sind die Rechte nicht streitig, Teilnehmer und Berechtigte über die Auszahlung einig und macht kein Dritter dingliche Rechte an der Geldabfindung geltend, so weist die Flurbereinigungsbehörde die Teilnehmergemeinschaft an, das Geld den Berechtigten auszuzahlen.</w:t>
      </w:r>
    </w:p>
    <w:p>
      <w:pPr>
        <w:ind w:left="420"/>
      </w:pPr>
      <w:r>
        <w:t xml:space="preserve">2. Sind die Rechte streitig oder Teilnehmer und Berechtigte über die Auszahlung nicht einig oder macht ein Dritter dingliche Rechte an der Geldabfindung geltend, so weist die Flurbereinigungsbehörde die Teilnehmergemeinschaft an, das Geld zugunsten des in Geld abgefundenen Teilnehmers, der Berechtigten und des Dritten bei dem nach Nummer 3 für die Verteilung zuständigen Amtsgericht unter Verzicht auf das Recht der Rücknahme zu hinterlegen. Nach der Hinterlegung können Ansprüche wegen der Geldabfindung im Flurbereinigungsverfahren nicht mehr geltend gemacht werden. Das Amtsgericht hat den hinterlegten Betrag nach Maßgabe des § 75 zu verteilen. § 108 ist nicht anzuwenden.</w:t>
      </w:r>
    </w:p>
    <w:p>
      <w:pPr>
        <w:ind w:left="420"/>
      </w:pPr>
      <w:r>
        <w:t xml:space="preserve">3. Für die Verteilung ist das Amtsgericht zuständig, in dessen Bezirk die mit den Rechten belasteten Grundstücke liegen. Liegen die belasteten Grundstücke in den Bezirken verschiedener Amtsgerichte, so ist das Amtsgericht zuständig, in dessen Bezirk die größere Fläche der belasteten Grundstücke liegt. In Zweifelsfällen gilt § 2 des Gesetzes über die Zwangsversteigerung und die Zwangsverwaltung in der Fassung der Bekanntmachung vom 20. Mai 1898 (Reichsgesetzbl. S. 369, 713), zuletzt geändert durch das Einführungsgesetz zum Strafgesetzbuch vom 2. März 1974 (Bundesgesetzbl. I S. 469), entsprechend.</w:t>
      </w:r>
    </w:p>
    <w:p>
      <w:pPr>
        <w:ind w:left="420"/>
      </w:pPr>
      <w:r>
        <w:t xml:space="preserve">4. Hypotheken, Grundschulden, Rentenschulden und Reallasten, die aus der Geldabfindung nicht befriedigt werden, erlöschen.</w:t>
      </w:r>
    </w:p>
    <w:p>
      <w:r>
        <w:rPr>
          <w:color w:val="555555"/>
          <w:sz w:val="17"/>
        </w:rPr>
        <w:t xml:space="preserve">Zitiervorschlag: § 74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