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Bei Pachtverhältnissen ist ein Wertunterschied zwischen dem alten und dem neuen Pachtbesitz durch Erhöhung oder Minderung der Pacht oder in anderer Weise auszugleichen.</w:t>
      </w:r>
    </w:p>
    <w:p>
      <w:r>
        <w:t xml:space="preserve">(2) Wird der Pachtbesitz durch die Flurbereinigung so erheblich geändert, daß dem Pächter die Bewirtschaftung wesentlich erschwert wird, so ist das Pachtverhältnis zum Ende des bei Erlaß der Ausführungsanordnung laufenden oder des darauffolgenden ersten Pachtjahres aufzulösen.</w:t>
      </w:r>
    </w:p>
    <w:p>
      <w:r>
        <w:t xml:space="preserve">(3) Die Vorschriften der Absätze 1 und 2 gelten nicht, soweit die Vertragsteile eine abweichende Regelung getroffen haben.</w:t>
      </w:r>
    </w:p>
    <w:p>
      <w:r>
        <w:rPr>
          <w:color w:val="555555"/>
          <w:sz w:val="17"/>
        </w:rPr>
        <w:t xml:space="preserve">Zitiervorschlag: § 70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