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Flurbereinigungsgebiet kann eine oder mehrere Gemeinden oder Teile von Gemeinden umfassen. Es ist so zu begrenzen, daß der Zweck der Flurbereinigung möglichst vollkommen erreicht wird.</w:t>
      </w:r>
    </w:p>
    <w:p>
      <w:r>
        <w:t xml:space="preserve">(2) Zum Flurbereinigungsgebiet gehören alle in ihm liegenden Grundstücke, soweit sie nicht ausdrücklich ausgeschlossen werden.</w:t>
      </w:r>
    </w:p>
    <w:p>
      <w:r>
        <w:rPr>
          <w:color w:val="555555"/>
          <w:sz w:val="17"/>
        </w:rPr>
        <w:t xml:space="preserve">Zitiervorschlag: § 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