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Landabfindung tritt hinsichtlich der Rechte an den alten Grundstücken und der diese Grundstücke betreffenden Rechtsverhältnisse, die nicht aufgehoben werden (§ 49), an die Stelle der alten Grundstücke. Die örtlich gebundenen öffentlichen Lasten, die auf den alten Grundstücken ruhen, gehen auf die in deren örtlicher Lage ausgewiesenen neuen Grundstücke über.</w:t>
      </w:r>
    </w:p>
    <w:p>
      <w:r>
        <w:t xml:space="preserve">(2) Wird eine Landabfindung für mehrere alte Grundstücke oder Berechtigungen gegeben, die durch verschiedene Rechtsverhältnisse betroffen werden, so hat die Flurbereinigungsbehörde zu bestimmen, welche neuen Grundstücke oder Bruchteile von neuen Grundstücken an die Stelle der einzelnen alten Grundstücke oder Berechtigungen treten.</w:t>
      </w:r>
    </w:p>
    <w:p>
      <w:r>
        <w:t xml:space="preserve">(3) Auf Antrag und, soweit erforderlich, auch von Amts wegen hat die Flurbereinigungsbehörde an Stelle der nach Absatz 2 bestimmten Bruchteile besondere Grundstücke auszuweisen. Das gilt nicht hinsichtlich der Bruchteile von Berechtigungen der in § 49 Abs. 1 Satz 3 bezeichneten Art.</w:t>
      </w:r>
    </w:p>
    <w:p>
      <w:r>
        <w:rPr>
          <w:color w:val="555555"/>
          <w:sz w:val="17"/>
        </w:rPr>
        <w:t xml:space="preserve">Zitiervorschlag: § 68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