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Ausgleiche und Abfindungen in Geld sind möglichst anschließend an die Anordnung nach § 65 Abs. 2 zu leisten, soweit nicht Rechte Dritter nach den Vorschriften der §§ 74 bis 78 zu wahren sind.</w:t>
      </w:r>
    </w:p>
    <w:p>
      <w:r>
        <w:t xml:space="preserve">(2) Beträge, die nach den endgültigen Festsetzungen im Flurbereinigungsplan in anderer Höhe oder von anderen Beteiligten zu zahlen sind, sind nach Ausführung des Flurbereinigungsplanes auszugleichen.</w:t>
      </w:r>
    </w:p>
    <w:p>
      <w:r>
        <w:rPr>
          <w:color w:val="555555"/>
          <w:sz w:val="17"/>
        </w:rPr>
        <w:t xml:space="preserve">Zitiervorschlag: § 67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