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Flurbereinigungsbehörde hat begründeten Widersprüchen abzuhelfen. Sie kann auch andere Änderungen des Flurbereinigungsplanes vornehmen, die sie für erforderlich hält. Die Bekanntgabe der Änderungen und die Anhörung sind auf die daran Beteiligten zu beschränken. Im übrigen sind die Vorschriften des § 59 anzuwenden.</w:t>
      </w:r>
    </w:p>
    <w:p>
      <w:r>
        <w:t xml:space="preserve">(2) Die nach Abschluß der Verhandlungen verbleibenden Widersprüche legt die Flurbereinigungsbehörde gemäß der Vorschrift des § 141 Abs. 1 der oberen Flurbereinigungsbehörde vor.</w:t>
      </w:r>
    </w:p>
    <w:p>
      <w:r>
        <w:rPr>
          <w:color w:val="555555"/>
          <w:sz w:val="17"/>
        </w:rPr>
        <w:t xml:space="preserve">Zitiervorschlag: § 60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